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黑体" w:eastAsia="方正小标宋简体"/>
          <w:sz w:val="44"/>
          <w:szCs w:val="44"/>
        </w:rPr>
      </w:pPr>
      <w:r>
        <w:rPr>
          <w:rFonts w:hint="eastAsia" w:ascii="方正小标宋简体" w:hAnsi="黑体" w:eastAsia="方正小标宋简体"/>
          <w:sz w:val="44"/>
          <w:szCs w:val="44"/>
        </w:rPr>
        <w:t>202</w:t>
      </w:r>
      <w:r>
        <w:rPr>
          <w:rFonts w:ascii="方正小标宋简体" w:hAnsi="黑体" w:eastAsia="方正小标宋简体"/>
          <w:sz w:val="44"/>
          <w:szCs w:val="44"/>
        </w:rPr>
        <w:t>2</w:t>
      </w:r>
      <w:r>
        <w:rPr>
          <w:rFonts w:hint="eastAsia" w:ascii="方正小标宋简体" w:hAnsi="黑体" w:eastAsia="方正小标宋简体"/>
          <w:sz w:val="44"/>
          <w:szCs w:val="44"/>
        </w:rPr>
        <w:t>年度江门市蓬江区政府计算机</w: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维护服务项目采购需求</w:t>
      </w:r>
    </w:p>
    <w:p>
      <w:pPr>
        <w:rPr>
          <w:rFonts w:ascii="仿宋_GB2312" w:eastAsia="仿宋_GB2312" w:hAnsiTheme="minorEastAsia"/>
          <w:sz w:val="32"/>
          <w:szCs w:val="32"/>
        </w:rPr>
      </w:pPr>
    </w:p>
    <w:p>
      <w:pPr>
        <w:ind w:right="-335" w:firstLine="640" w:firstLineChars="200"/>
        <w:jc w:val="left"/>
        <w:outlineLvl w:val="0"/>
        <w:rPr>
          <w:rFonts w:ascii="黑体" w:hAnsi="黑体" w:eastAsia="黑体" w:cs="宋体"/>
          <w:sz w:val="32"/>
          <w:szCs w:val="32"/>
        </w:rPr>
      </w:pPr>
      <w:r>
        <w:rPr>
          <w:rFonts w:hint="eastAsia" w:ascii="黑体" w:hAnsi="黑体" w:eastAsia="黑体" w:cs="宋体"/>
          <w:sz w:val="32"/>
          <w:szCs w:val="32"/>
        </w:rPr>
        <w:t>一、项目</w:t>
      </w:r>
      <w:r>
        <w:rPr>
          <w:rFonts w:ascii="黑体" w:hAnsi="黑体" w:eastAsia="黑体" w:cs="宋体"/>
          <w:sz w:val="32"/>
          <w:szCs w:val="32"/>
        </w:rPr>
        <w:t>名称</w:t>
      </w:r>
    </w:p>
    <w:p>
      <w:pPr>
        <w:ind w:right="-335" w:firstLine="640" w:firstLineChars="200"/>
        <w:jc w:val="left"/>
        <w:outlineLvl w:val="0"/>
        <w:rPr>
          <w:rFonts w:ascii="仿宋_GB2312" w:eastAsia="仿宋_GB2312" w:cs="宋体" w:hAnsiTheme="minorEastAsia"/>
          <w:sz w:val="32"/>
          <w:szCs w:val="32"/>
        </w:rPr>
      </w:pPr>
      <w:r>
        <w:rPr>
          <w:rFonts w:hint="eastAsia" w:ascii="仿宋_GB2312" w:eastAsia="仿宋_GB2312" w:cs="宋体" w:hAnsiTheme="minorEastAsia"/>
          <w:sz w:val="32"/>
          <w:szCs w:val="32"/>
        </w:rPr>
        <w:t>202</w:t>
      </w:r>
      <w:r>
        <w:rPr>
          <w:rFonts w:ascii="仿宋_GB2312" w:eastAsia="仿宋_GB2312" w:cs="宋体" w:hAnsiTheme="minorEastAsia"/>
          <w:sz w:val="32"/>
          <w:szCs w:val="32"/>
        </w:rPr>
        <w:t>2</w:t>
      </w:r>
      <w:r>
        <w:rPr>
          <w:rFonts w:hint="eastAsia" w:ascii="仿宋_GB2312" w:eastAsia="仿宋_GB2312" w:cs="宋体" w:hAnsiTheme="minorEastAsia"/>
          <w:sz w:val="32"/>
          <w:szCs w:val="32"/>
        </w:rPr>
        <w:t>年度江门市蓬江区政府计算机维护服务项目</w:t>
      </w:r>
    </w:p>
    <w:p>
      <w:pPr>
        <w:ind w:right="-335" w:firstLine="640" w:firstLineChars="200"/>
        <w:jc w:val="left"/>
        <w:outlineLvl w:val="0"/>
        <w:rPr>
          <w:rFonts w:ascii="黑体" w:hAnsi="黑体" w:eastAsia="黑体" w:cs="宋体"/>
          <w:sz w:val="32"/>
          <w:szCs w:val="32"/>
        </w:rPr>
      </w:pPr>
      <w:r>
        <w:rPr>
          <w:rFonts w:hint="eastAsia" w:ascii="黑体" w:hAnsi="黑体" w:eastAsia="黑体" w:cs="宋体"/>
          <w:sz w:val="32"/>
          <w:szCs w:val="32"/>
        </w:rPr>
        <w:t>二</w:t>
      </w:r>
      <w:r>
        <w:rPr>
          <w:rFonts w:ascii="黑体" w:hAnsi="黑体" w:eastAsia="黑体" w:cs="宋体"/>
          <w:sz w:val="32"/>
          <w:szCs w:val="32"/>
        </w:rPr>
        <w:t>、</w:t>
      </w:r>
      <w:r>
        <w:rPr>
          <w:rFonts w:hint="eastAsia" w:ascii="黑体" w:hAnsi="黑体" w:eastAsia="黑体" w:cs="宋体"/>
          <w:sz w:val="32"/>
          <w:szCs w:val="32"/>
        </w:rPr>
        <w:t>服务内容及时间</w:t>
      </w:r>
    </w:p>
    <w:p>
      <w:pPr>
        <w:spacing w:line="360" w:lineRule="auto"/>
        <w:ind w:right="-335"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bCs/>
          <w:sz w:val="32"/>
          <w:szCs w:val="32"/>
        </w:rPr>
        <w:t>（一）服务内容：</w:t>
      </w:r>
      <w:r>
        <w:rPr>
          <w:rFonts w:hint="eastAsia" w:ascii="仿宋_GB2312" w:hAnsi="宋体" w:eastAsia="仿宋_GB2312" w:cs="宋体"/>
          <w:color w:val="000000"/>
          <w:sz w:val="32"/>
          <w:szCs w:val="32"/>
        </w:rPr>
        <w:t>主要包括计算机维护、网络维护、会议布场、机房清洁及定期巡检等方面内容</w:t>
      </w:r>
      <w:r>
        <w:rPr>
          <w:rFonts w:hint="eastAsia" w:ascii="仿宋_GB2312" w:eastAsia="仿宋_GB2312" w:cs="宋体" w:hAnsiTheme="minorEastAsia"/>
          <w:sz w:val="32"/>
          <w:szCs w:val="32"/>
        </w:rPr>
        <w:t>。</w:t>
      </w:r>
    </w:p>
    <w:p>
      <w:pPr>
        <w:spacing w:line="360" w:lineRule="auto"/>
        <w:ind w:right="-335" w:firstLine="640" w:firstLineChars="200"/>
        <w:jc w:val="left"/>
        <w:rPr>
          <w:rFonts w:hint="eastAsia" w:ascii="仿宋_GB2312" w:eastAsia="仿宋_GB2312" w:cs="宋体" w:hAnsiTheme="minorEastAsia"/>
          <w:bCs/>
          <w:sz w:val="32"/>
          <w:szCs w:val="32"/>
        </w:rPr>
      </w:pPr>
      <w:r>
        <w:rPr>
          <w:rFonts w:hint="eastAsia" w:ascii="仿宋_GB2312" w:eastAsia="仿宋_GB2312" w:cs="宋体" w:hAnsiTheme="minorEastAsia"/>
          <w:bCs/>
          <w:sz w:val="32"/>
          <w:szCs w:val="32"/>
        </w:rPr>
        <w:t>（二）服务时间：自合同签订之日起</w:t>
      </w:r>
      <w:r>
        <w:rPr>
          <w:rFonts w:hint="eastAsia" w:ascii="仿宋_GB2312" w:eastAsia="仿宋_GB2312" w:cs="宋体" w:hAnsiTheme="minorEastAsia"/>
          <w:bCs/>
          <w:sz w:val="32"/>
          <w:szCs w:val="32"/>
          <w:lang w:eastAsia="zh-CN"/>
        </w:rPr>
        <w:t>至</w:t>
      </w:r>
      <w:r>
        <w:rPr>
          <w:rFonts w:hint="eastAsia" w:ascii="仿宋_GB2312" w:eastAsia="仿宋_GB2312" w:cs="宋体" w:hAnsiTheme="minorEastAsia"/>
          <w:bCs/>
          <w:sz w:val="32"/>
          <w:szCs w:val="32"/>
        </w:rPr>
        <w:t>2023</w:t>
      </w:r>
      <w:r>
        <w:rPr>
          <w:rFonts w:hint="eastAsia" w:ascii="仿宋_GB2312" w:eastAsia="仿宋_GB2312" w:cs="宋体" w:hAnsiTheme="minorEastAsia"/>
          <w:bCs/>
          <w:sz w:val="32"/>
          <w:szCs w:val="32"/>
          <w:lang w:eastAsia="zh-CN"/>
        </w:rPr>
        <w:t>年</w:t>
      </w:r>
      <w:r>
        <w:rPr>
          <w:rFonts w:hint="eastAsia" w:ascii="仿宋_GB2312" w:eastAsia="仿宋_GB2312" w:cs="宋体" w:hAnsiTheme="minorEastAsia"/>
          <w:bCs/>
          <w:sz w:val="32"/>
          <w:szCs w:val="32"/>
        </w:rPr>
        <w:t>9</w:t>
      </w:r>
      <w:r>
        <w:rPr>
          <w:rFonts w:hint="eastAsia" w:ascii="仿宋_GB2312" w:eastAsia="仿宋_GB2312" w:cs="宋体" w:hAnsiTheme="minorEastAsia"/>
          <w:bCs/>
          <w:sz w:val="32"/>
          <w:szCs w:val="32"/>
          <w:lang w:eastAsia="zh-CN"/>
        </w:rPr>
        <w:t>月</w:t>
      </w:r>
      <w:r>
        <w:rPr>
          <w:rFonts w:hint="eastAsia" w:ascii="仿宋_GB2312" w:eastAsia="仿宋_GB2312" w:cs="宋体" w:hAnsiTheme="minorEastAsia"/>
          <w:bCs/>
          <w:sz w:val="32"/>
          <w:szCs w:val="32"/>
        </w:rPr>
        <w:t>30</w:t>
      </w:r>
      <w:r>
        <w:rPr>
          <w:rFonts w:hint="eastAsia" w:ascii="仿宋_GB2312" w:eastAsia="仿宋_GB2312" w:cs="宋体" w:hAnsiTheme="minorEastAsia"/>
          <w:bCs/>
          <w:sz w:val="32"/>
          <w:szCs w:val="32"/>
          <w:lang w:eastAsia="zh-CN"/>
        </w:rPr>
        <w:t>日</w:t>
      </w:r>
      <w:r>
        <w:rPr>
          <w:rFonts w:hint="eastAsia" w:ascii="仿宋_GB2312" w:eastAsia="仿宋_GB2312" w:cs="宋体" w:hAnsiTheme="minorEastAsia"/>
          <w:bCs/>
          <w:sz w:val="32"/>
          <w:szCs w:val="32"/>
        </w:rPr>
        <w:t>。</w:t>
      </w:r>
    </w:p>
    <w:p>
      <w:pPr>
        <w:ind w:right="-335" w:firstLine="640" w:firstLineChars="200"/>
        <w:jc w:val="left"/>
        <w:outlineLvl w:val="0"/>
        <w:rPr>
          <w:rFonts w:ascii="黑体" w:hAnsi="黑体" w:eastAsia="黑体" w:cs="宋体"/>
          <w:sz w:val="32"/>
          <w:szCs w:val="32"/>
        </w:rPr>
      </w:pPr>
      <w:r>
        <w:rPr>
          <w:rFonts w:ascii="黑体" w:hAnsi="黑体" w:eastAsia="黑体" w:cs="宋体"/>
          <w:sz w:val="32"/>
          <w:szCs w:val="32"/>
        </w:rPr>
        <w:t>二</w:t>
      </w:r>
      <w:r>
        <w:rPr>
          <w:rFonts w:hint="eastAsia" w:ascii="黑体" w:hAnsi="黑体" w:eastAsia="黑体" w:cs="宋体"/>
          <w:sz w:val="32"/>
          <w:szCs w:val="32"/>
        </w:rPr>
        <w:t>、供应商资格要求</w:t>
      </w:r>
    </w:p>
    <w:p>
      <w:pPr>
        <w:spacing w:line="360" w:lineRule="auto"/>
        <w:ind w:right="-335"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（一）依法设立，能独立承担民事责任；</w:t>
      </w:r>
    </w:p>
    <w:p>
      <w:pPr>
        <w:spacing w:line="360" w:lineRule="auto"/>
        <w:ind w:right="-335"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（二）具备提供服务所必需的设备和专业技术能力；</w:t>
      </w:r>
    </w:p>
    <w:p>
      <w:pPr>
        <w:spacing w:line="360" w:lineRule="auto"/>
        <w:ind w:right="-335"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（三）具备二名或以上网络工程师；</w:t>
      </w:r>
    </w:p>
    <w:p>
      <w:pPr>
        <w:spacing w:line="360" w:lineRule="auto"/>
        <w:ind w:right="-335"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（四）</w:t>
      </w:r>
      <w:r>
        <w:rPr>
          <w:rFonts w:hint="eastAsia" w:ascii="仿宋_GB2312" w:hAnsi="宋体" w:eastAsia="仿宋_GB2312" w:cs="宋体"/>
          <w:color w:val="000000"/>
          <w:sz w:val="32"/>
          <w:szCs w:val="32"/>
        </w:rPr>
        <w:t>近3年内或自成立之日起无重大违法违纪行为，无非正常退出承接我区政府购买服务项目的行为，社会信誉良好</w:t>
      </w:r>
      <w:r>
        <w:rPr>
          <w:rFonts w:hint="eastAsia" w:ascii="仿宋_GB2312" w:eastAsia="仿宋_GB2312" w:cs="宋体" w:hAnsiTheme="minorEastAsia"/>
          <w:sz w:val="32"/>
          <w:szCs w:val="32"/>
        </w:rPr>
        <w:t>；</w:t>
      </w:r>
    </w:p>
    <w:p>
      <w:pPr>
        <w:spacing w:line="360" w:lineRule="auto"/>
        <w:ind w:right="-335"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（五）供应商须具有3年以上机关单位</w:t>
      </w:r>
      <w:r>
        <w:rPr>
          <w:rFonts w:hint="eastAsia" w:ascii="仿宋_GB2312" w:hAnsi="宋体" w:eastAsia="仿宋_GB2312" w:cs="宋体"/>
          <w:color w:val="000000"/>
          <w:sz w:val="32"/>
          <w:szCs w:val="32"/>
        </w:rPr>
        <w:t>计算机维护服务</w:t>
      </w:r>
      <w:r>
        <w:rPr>
          <w:rFonts w:hint="eastAsia" w:ascii="仿宋_GB2312" w:eastAsia="仿宋_GB2312" w:cs="宋体" w:hAnsiTheme="minorEastAsia"/>
          <w:sz w:val="32"/>
          <w:szCs w:val="32"/>
        </w:rPr>
        <w:t>项目经验（提供不低于</w:t>
      </w:r>
      <w:r>
        <w:rPr>
          <w:rFonts w:ascii="仿宋_GB2312" w:eastAsia="仿宋_GB2312" w:cs="宋体" w:hAnsiTheme="minorEastAsia"/>
          <w:sz w:val="32"/>
          <w:szCs w:val="32"/>
        </w:rPr>
        <w:t>5</w:t>
      </w:r>
      <w:r>
        <w:rPr>
          <w:rFonts w:hint="eastAsia" w:ascii="仿宋_GB2312" w:eastAsia="仿宋_GB2312" w:cs="宋体" w:hAnsiTheme="minorEastAsia"/>
          <w:sz w:val="32"/>
          <w:szCs w:val="32"/>
        </w:rPr>
        <w:t>个单位的合同）；</w:t>
      </w:r>
    </w:p>
    <w:p>
      <w:pPr>
        <w:spacing w:line="360" w:lineRule="auto"/>
        <w:ind w:right="-335" w:firstLine="640" w:firstLineChars="200"/>
        <w:jc w:val="left"/>
        <w:rPr>
          <w:rFonts w:ascii="仿宋_GB2312" w:eastAsia="仿宋_GB2312" w:hAnsiTheme="minorEastAsia"/>
          <w:sz w:val="32"/>
          <w:szCs w:val="32"/>
        </w:rPr>
      </w:pPr>
      <w:r>
        <w:rPr>
          <w:rFonts w:hint="eastAsia" w:ascii="仿宋_GB2312" w:eastAsia="仿宋_GB2312" w:cs="宋体" w:hAnsiTheme="minorEastAsia"/>
          <w:sz w:val="32"/>
          <w:szCs w:val="32"/>
        </w:rPr>
        <w:t>（六）</w:t>
      </w:r>
      <w:r>
        <w:rPr>
          <w:rFonts w:hint="eastAsia" w:ascii="仿宋_GB2312" w:eastAsia="仿宋_GB2312" w:hAnsiTheme="minorEastAsia"/>
          <w:sz w:val="32"/>
          <w:szCs w:val="32"/>
        </w:rPr>
        <w:t>供应商在江门市内需设有固定的售后服务机构（提供相关证明材料及服务人员202</w:t>
      </w:r>
      <w:r>
        <w:rPr>
          <w:rFonts w:ascii="仿宋_GB2312" w:eastAsia="仿宋_GB2312" w:hAnsiTheme="minorEastAsia"/>
          <w:sz w:val="32"/>
          <w:szCs w:val="32"/>
        </w:rPr>
        <w:t>2</w:t>
      </w:r>
      <w:r>
        <w:rPr>
          <w:rFonts w:hint="eastAsia" w:ascii="仿宋_GB2312" w:eastAsia="仿宋_GB2312" w:hAnsiTheme="minorEastAsia"/>
          <w:sz w:val="32"/>
          <w:szCs w:val="32"/>
        </w:rPr>
        <w:t>年1月至今的社保证明材料）；</w:t>
      </w:r>
    </w:p>
    <w:p>
      <w:pPr>
        <w:spacing w:line="360" w:lineRule="auto"/>
        <w:ind w:left="630" w:leftChars="300" w:right="-335"/>
        <w:jc w:val="left"/>
        <w:rPr>
          <w:rFonts w:ascii="仿宋_GB2312" w:eastAsia="仿宋_GB2312" w:cs="宋体" w:hAnsiTheme="minorEastAsia"/>
          <w:sz w:val="32"/>
          <w:szCs w:val="32"/>
        </w:rPr>
      </w:pPr>
      <w:r>
        <w:rPr>
          <w:rFonts w:hint="eastAsia" w:ascii="仿宋_GB2312" w:eastAsia="仿宋_GB2312" w:hAnsiTheme="minorEastAsia"/>
          <w:sz w:val="32"/>
          <w:szCs w:val="32"/>
        </w:rPr>
        <w:t>（七）</w:t>
      </w:r>
      <w:r>
        <w:rPr>
          <w:rFonts w:hint="eastAsia" w:ascii="仿宋_GB2312" w:eastAsia="仿宋_GB2312" w:cs="宋体" w:hAnsiTheme="minorEastAsia"/>
          <w:sz w:val="32"/>
          <w:szCs w:val="32"/>
        </w:rPr>
        <w:t>本项目不接受联合体投标。</w:t>
      </w:r>
    </w:p>
    <w:p>
      <w:pPr>
        <w:spacing w:line="360" w:lineRule="auto"/>
        <w:ind w:right="-335"/>
        <w:jc w:val="left"/>
        <w:rPr>
          <w:rFonts w:ascii="仿宋_GB2312" w:eastAsia="仿宋_GB2312" w:cs="宋体" w:hAnsiTheme="minorEastAsia"/>
          <w:sz w:val="32"/>
          <w:szCs w:val="32"/>
        </w:rPr>
      </w:pPr>
    </w:p>
    <w:p>
      <w:pPr>
        <w:pStyle w:val="19"/>
        <w:ind w:left="709" w:right="-335" w:firstLine="0" w:firstLineChars="0"/>
        <w:jc w:val="left"/>
        <w:outlineLvl w:val="0"/>
        <w:rPr>
          <w:rFonts w:ascii="仿宋_GB2312" w:eastAsia="仿宋_GB2312" w:cs="宋体" w:hAnsiTheme="minorEastAsia"/>
          <w:b/>
          <w:sz w:val="32"/>
          <w:szCs w:val="32"/>
        </w:rPr>
      </w:pPr>
      <w:r>
        <w:rPr>
          <w:rFonts w:ascii="黑体" w:hAnsi="黑体" w:eastAsia="黑体" w:cs="宋体"/>
          <w:sz w:val="32"/>
          <w:szCs w:val="32"/>
        </w:rPr>
        <w:t>三</w:t>
      </w:r>
      <w:r>
        <w:rPr>
          <w:rFonts w:hint="eastAsia" w:ascii="黑体" w:hAnsi="黑体" w:eastAsia="黑体" w:cs="宋体"/>
          <w:sz w:val="32"/>
          <w:szCs w:val="32"/>
        </w:rPr>
        <w:t>、服务要求</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（一）计算机维护</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1、服务范围：蓬江区政府各部门、镇街、社区、村委的计算机设备维护。</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2、服务内容（包括但不限于）：</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（1）计算机硬件：负责办公计算机及外设硬件故障诊断维修和硬件更换，解决电脑与打印机、扫描仪、传真机、复印机、网络设备等各类外设设备连接和驱动程序安装问题。</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计算机操作系统：计算机系统的安装、升级调试及故障处理，解决办公操作系统无法启动，运行速度过慢，系统崩溃，操作系统重装、操作系统优化，操作系统防护（计算机病毒查杀，杀毒软件安装升级、漏洞补丁修复等）等各类操作系统及系统基础软件问题。</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（3）计算机应用和工具软件安装：根据用户所需安装各类办公软件、备份软件、恢复光盘、驱动程序、平台插件和日常办公工具软件。</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（二）网络维护</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1、服务范围：协助处理蓬江区政府各部门、镇街、社区、村委等网络设备日常运维维护。</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2、服务内容（包括但不限于）：</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用户端网络：解决计算机IP地址,计算机DNS，计算机浏览器，计算机文件共享，计算机打印服务共享，计算机网线，计算机网络端口（含墙上网络面板），外置普通交换机和路由器等各类有线、无线网络问题。</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（2）网络测试：根据委托方的要求协助测试用户各类型网络情况，排查各类网络故障，以文档形式（需含图片）及时交委托方。</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（3）网络设备的安装：根据委托方的要求协助安装各类网络设备。</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（4）网络VPN的安装：根据委托方的要求在用户笔记本电脑、手机、平板等设备上安装测试VPN连接。</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（三）机房清洁</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1、服务范围：蓬江区区府大院各机房清洁。</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2、服务内容（包括但不限于）：按委托方要求定期清洁各机房内需要清洁的区域。</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3、服务周期：政府5楼中心机房及档案大楼9楼机房每周清洁一次，其他机房每两周清洁一次。</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（四）会场布置</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1、服务范围：负责对蓬江区电视电话会议、大院内外所有会议布场。</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2、服务内容（包括但不限于）：</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（1）会前测试：委托方指定的时间和要求布置会场；与组会单位的操作负责人进行会前对接；布场人员须在会议召开前45-60分钟内完成上线联调、设备连接及多媒体演示工作，调试布置备用设备，做好应急措施；</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（2）会中保障：保障设备正常运行，处理会议期间出现各种问题或者突发紧急故障，并密切关注主会场发言通知信号，配合做好话筒设备开启、音量调节正常和主备更换等工作。</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（3）会后分析：会后关闭所有设备及电源，整理好场地，将借出物品归还，并确保物品完好。汇总会议期间问题，结合设备状况进行分析和总结提交委托方。</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（五）定期巡检服务</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1、服务范围：蓬江区政府各部门、镇街、社区、村委的计算机设备维护。</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2、服务内容（包括但不限于）：对服务范围内的设备进行巡检，具体内容如下：</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（1）调查并记录服务范围内每一个场所的办公计算机、配套硬件等自动化办公设备数量及型号，登记内容进行整合，综合情况，针对每一个场所编制该场所的系统档案。</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（2）调查并记录服务范围内每一个场所的网络链路情况，编制相关的网络设置档案（包括IP地址、端口设置、接口类型等等）。</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（3）记录故障场所内安装的设备的运行情况、网络状况。在系统运行维护的过程中，将产生各种动态的信息如维修、维护、配置变更等，档案进行动态更新，根据动态记录情况，提供预防性维护方案。</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（六）交付文档</w:t>
      </w:r>
      <w:r>
        <w:rPr>
          <w:rFonts w:ascii="仿宋_GB2312" w:eastAsia="仿宋_GB2312" w:hAnsiTheme="minorEastAsia"/>
          <w:sz w:val="32"/>
          <w:szCs w:val="32"/>
        </w:rPr>
        <w:t> </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（1）《办公及网络设备档案》4份；</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（2）《维护运行状况月报》12份;</w:t>
      </w:r>
    </w:p>
    <w:p>
      <w:pPr>
        <w:spacing w:line="360" w:lineRule="auto"/>
        <w:ind w:firstLine="660"/>
        <w:rPr>
          <w:rFonts w:ascii="仿宋_GB2312" w:eastAsia="仿宋_GB2312" w:hAnsiTheme="minorEastAsia"/>
          <w:sz w:val="32"/>
          <w:szCs w:val="32"/>
        </w:rPr>
      </w:pPr>
      <w:r>
        <w:rPr>
          <w:rFonts w:hint="eastAsia" w:ascii="仿宋_GB2312" w:eastAsia="仿宋_GB2312" w:hAnsiTheme="minorEastAsia"/>
          <w:sz w:val="32"/>
          <w:szCs w:val="32"/>
        </w:rPr>
        <w:t>（3）《年度系统运行分析报告及维护建议》1份。</w:t>
      </w:r>
    </w:p>
    <w:p>
      <w:pPr>
        <w:ind w:right="-335" w:firstLine="640" w:firstLineChars="200"/>
        <w:jc w:val="left"/>
        <w:outlineLvl w:val="0"/>
        <w:rPr>
          <w:rFonts w:ascii="黑体" w:hAnsi="黑体" w:eastAsia="黑体" w:cs="宋体"/>
          <w:sz w:val="32"/>
          <w:szCs w:val="32"/>
        </w:rPr>
      </w:pPr>
      <w:r>
        <w:rPr>
          <w:rFonts w:hint="eastAsia" w:ascii="黑体" w:hAnsi="黑体" w:eastAsia="黑体" w:cs="宋体"/>
          <w:sz w:val="32"/>
          <w:szCs w:val="32"/>
        </w:rPr>
        <w:t>四、供应商的责任和义务</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（一）供应商提供的维护人员配备要求：</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1、蓬江区政府大院内部门（驻场办公点按采购人实际需要调整）：长期固定派驻4人，熟悉掌握政府业务系统、网络维护、电脑及办公设备软硬件技术，熟悉掌握电视电话会议各项流程、视频会议设备设置及基础办公软硬件技术。</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2、蓬江区政府大院外部门、镇街、社区、村委：按需派驻2人，全面掌握网络技术，包括：掌握日常办公设备维修技术，包括各类型打印机、复印件及扫描仪等。</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3、人员及设备调配：</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（1）供应商需确保技术人员的在职情况不影响服务质量，不得以技术人员离职、休假等原因延迟或不提供服务。</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（2）日常工作时间外的故障维护、会议布场等须按委托方要求，保证能随时调整到位，维护人员接到报障起20分钟内响应。</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（3）周六供应商安排4名长期固定派驻人员中的其中一位到区政府中心机房值班；</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（4）服务期内供应商根据采购人单位的应急响应需求，安排派驻人员通宵值班，并保障次日下午两点起安排掌握相应技术的维护人作替补。</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w:t>
      </w:r>
      <w:r>
        <w:rPr>
          <w:rFonts w:ascii="仿宋_GB2312" w:eastAsia="仿宋_GB2312" w:cs="宋体" w:hAnsiTheme="minorEastAsia"/>
          <w:kern w:val="0"/>
          <w:sz w:val="32"/>
          <w:szCs w:val="32"/>
        </w:rPr>
        <w:t>5</w:t>
      </w:r>
      <w:r>
        <w:rPr>
          <w:rFonts w:hint="eastAsia" w:ascii="仿宋_GB2312" w:eastAsia="仿宋_GB2312" w:cs="宋体" w:hAnsiTheme="minorEastAsia"/>
          <w:kern w:val="0"/>
          <w:sz w:val="32"/>
          <w:szCs w:val="32"/>
        </w:rPr>
        <w:t>）如派驻技术人员工作水平不能满足委托方要求的，在委托方提出更换要求1个月内进行更换；</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5）供应商提供服务时所需要的工具、设备。如个人办公电脑（为保证信息安全，合同期满后硬盘归采购人）、移动硬盘、刻录光驱等）、交通工具及其他必须品，除投影设备外，全部由供应商负责提供，不得以工具配备不齐而迟延或不提供服务。</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（二）考勤制度</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1、考勤对象：常驻区政府的维护人员；</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2、考勤内容及方法：</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1）上下班考勤：考勤签到时间为上午上班8:30以前，下班12:00以后，下午午上班2:30以前，下班5:30以后，(时间如有变动按上级规定作相应调整)。未在规定时间签到视为迟到或早退，未签到又未事前履行请假或报告手续的视为旷工。</w:t>
      </w:r>
    </w:p>
    <w:p>
      <w:pPr>
        <w:widowControl/>
        <w:spacing w:line="360" w:lineRule="auto"/>
        <w:ind w:firstLine="566" w:firstLineChars="177"/>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（2）请假制度：如有请假者，需报相关负责人和供应商，供应商须安排掌握相应技术的维护人作替补。</w:t>
      </w:r>
    </w:p>
    <w:p>
      <w:pPr>
        <w:ind w:right="-335" w:firstLine="640" w:firstLineChars="200"/>
        <w:jc w:val="left"/>
        <w:outlineLvl w:val="0"/>
        <w:rPr>
          <w:rFonts w:ascii="黑体" w:hAnsi="黑体" w:eastAsia="黑体" w:cs="宋体"/>
          <w:sz w:val="32"/>
          <w:szCs w:val="32"/>
        </w:rPr>
      </w:pPr>
      <w:r>
        <w:rPr>
          <w:rFonts w:hint="eastAsia" w:ascii="黑体" w:hAnsi="黑体" w:eastAsia="黑体" w:cs="宋体"/>
          <w:sz w:val="32"/>
          <w:szCs w:val="32"/>
        </w:rPr>
        <w:t>五、保密条款</w:t>
      </w:r>
    </w:p>
    <w:p>
      <w:pPr>
        <w:widowControl/>
        <w:spacing w:line="360" w:lineRule="auto"/>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供应商须承诺严格遵守国家关于保密（包括私隐）方面的所有法律法规，对涉及蓬江区政府机关的数据及资料保密</w:t>
      </w:r>
      <w:r>
        <w:rPr>
          <w:rFonts w:hint="eastAsia" w:ascii="仿宋_GB2312" w:hAnsi="仿宋" w:eastAsia="仿宋_GB2312" w:cs="宋体"/>
          <w:kern w:val="0"/>
          <w:sz w:val="32"/>
          <w:szCs w:val="32"/>
        </w:rPr>
        <w:t>，</w:t>
      </w:r>
      <w:r>
        <w:rPr>
          <w:rFonts w:ascii="仿宋_GB2312" w:hAnsi="仿宋" w:eastAsia="仿宋_GB2312" w:cs="宋体"/>
          <w:kern w:val="0"/>
          <w:sz w:val="32"/>
          <w:szCs w:val="32"/>
        </w:rPr>
        <w:t>加强对相关人员的信息安全及保密</w:t>
      </w:r>
      <w:r>
        <w:rPr>
          <w:rFonts w:hint="eastAsia" w:ascii="仿宋_GB2312" w:hAnsi="仿宋" w:eastAsia="仿宋_GB2312" w:cs="宋体"/>
          <w:kern w:val="0"/>
          <w:sz w:val="32"/>
          <w:szCs w:val="32"/>
        </w:rPr>
        <w:t>宣传</w:t>
      </w:r>
      <w:r>
        <w:rPr>
          <w:rFonts w:ascii="仿宋_GB2312" w:hAnsi="仿宋" w:eastAsia="仿宋_GB2312" w:cs="宋体"/>
          <w:kern w:val="0"/>
          <w:sz w:val="32"/>
          <w:szCs w:val="32"/>
        </w:rPr>
        <w:t>、培训</w:t>
      </w:r>
      <w:r>
        <w:rPr>
          <w:rFonts w:hint="eastAsia" w:ascii="仿宋_GB2312" w:hAnsi="仿宋" w:eastAsia="仿宋_GB2312" w:cs="宋体"/>
          <w:kern w:val="0"/>
          <w:sz w:val="32"/>
          <w:szCs w:val="32"/>
        </w:rPr>
        <w:t>及</w:t>
      </w:r>
      <w:r>
        <w:rPr>
          <w:rFonts w:ascii="仿宋_GB2312" w:hAnsi="仿宋" w:eastAsia="仿宋_GB2312" w:cs="宋体"/>
          <w:kern w:val="0"/>
          <w:sz w:val="32"/>
          <w:szCs w:val="32"/>
        </w:rPr>
        <w:t>管理</w:t>
      </w:r>
      <w:r>
        <w:rPr>
          <w:rFonts w:hint="eastAsia" w:ascii="仿宋_GB2312" w:eastAsia="仿宋_GB2312" w:cs="宋体" w:hAnsiTheme="minorEastAsia"/>
          <w:kern w:val="0"/>
          <w:sz w:val="32"/>
          <w:szCs w:val="32"/>
        </w:rPr>
        <w:t>。所有</w:t>
      </w:r>
      <w:r>
        <w:rPr>
          <w:rFonts w:hint="eastAsia" w:ascii="仿宋_GB2312" w:hAnsi="仿宋" w:eastAsia="仿宋_GB2312" w:cs="宋体"/>
          <w:kern w:val="0"/>
          <w:sz w:val="32"/>
          <w:szCs w:val="32"/>
        </w:rPr>
        <w:t>服务期间内</w:t>
      </w:r>
      <w:r>
        <w:rPr>
          <w:rFonts w:hint="eastAsia" w:ascii="仿宋_GB2312" w:eastAsia="仿宋_GB2312" w:cs="宋体" w:hAnsiTheme="minorEastAsia"/>
          <w:kern w:val="0"/>
          <w:sz w:val="32"/>
          <w:szCs w:val="32"/>
        </w:rPr>
        <w:t>，可能或必须知道的用户书面资料或其他拷贝，必须在维修完成后交用户验收及统一管理，不得保留书面或其他形式的拷贝，并对已知的数据、资料保密。</w:t>
      </w:r>
    </w:p>
    <w:p>
      <w:pPr>
        <w:ind w:right="-335" w:firstLine="640" w:firstLineChars="200"/>
        <w:jc w:val="left"/>
        <w:outlineLvl w:val="0"/>
        <w:rPr>
          <w:rFonts w:ascii="黑体" w:hAnsi="黑体" w:eastAsia="黑体" w:cs="宋体"/>
          <w:sz w:val="32"/>
          <w:szCs w:val="32"/>
        </w:rPr>
      </w:pPr>
      <w:r>
        <w:rPr>
          <w:rFonts w:hint="eastAsia" w:ascii="黑体" w:hAnsi="黑体" w:eastAsia="黑体" w:cs="宋体"/>
          <w:sz w:val="32"/>
          <w:szCs w:val="32"/>
        </w:rPr>
        <w:t>六、付款办法</w:t>
      </w:r>
    </w:p>
    <w:p>
      <w:pPr>
        <w:spacing w:line="360" w:lineRule="auto"/>
        <w:ind w:right="-335"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（一）预算金额：委托方以项目打包的方式向供应商购买服务，本次项目的服务费为¥3</w:t>
      </w:r>
      <w:r>
        <w:rPr>
          <w:rFonts w:ascii="仿宋_GB2312" w:eastAsia="仿宋_GB2312" w:cs="宋体" w:hAnsiTheme="minorEastAsia"/>
          <w:sz w:val="32"/>
          <w:szCs w:val="32"/>
        </w:rPr>
        <w:t>7</w:t>
      </w:r>
      <w:r>
        <w:rPr>
          <w:rFonts w:hint="eastAsia" w:ascii="仿宋_GB2312" w:eastAsia="仿宋_GB2312" w:cs="宋体" w:hAnsiTheme="minorEastAsia"/>
          <w:sz w:val="32"/>
          <w:szCs w:val="32"/>
          <w:lang w:val="en-US" w:eastAsia="zh-CN"/>
        </w:rPr>
        <w:t>75</w:t>
      </w:r>
      <w:r>
        <w:rPr>
          <w:rFonts w:hint="eastAsia" w:ascii="仿宋_GB2312" w:eastAsia="仿宋_GB2312" w:cs="宋体" w:hAnsiTheme="minorEastAsia"/>
          <w:sz w:val="32"/>
          <w:szCs w:val="32"/>
        </w:rPr>
        <w:t>00元，大写：叁拾柒万柒仟伍佰元</w:t>
      </w:r>
      <w:bookmarkStart w:id="0" w:name="_GoBack"/>
      <w:bookmarkEnd w:id="0"/>
      <w:r>
        <w:rPr>
          <w:rFonts w:hint="eastAsia" w:ascii="仿宋_GB2312" w:eastAsia="仿宋_GB2312" w:cs="宋体" w:hAnsiTheme="minorEastAsia"/>
          <w:sz w:val="32"/>
          <w:szCs w:val="32"/>
        </w:rPr>
        <w:t>整，超过预算金额报价无效。</w:t>
      </w:r>
    </w:p>
    <w:p>
      <w:pPr>
        <w:spacing w:line="360" w:lineRule="auto"/>
        <w:ind w:firstLine="640" w:firstLineChars="200"/>
        <w:rPr>
          <w:rFonts w:ascii="仿宋_GB2312" w:eastAsia="仿宋_GB2312" w:cs="宋体" w:hAnsiTheme="minorEastAsia"/>
          <w:sz w:val="32"/>
          <w:szCs w:val="32"/>
        </w:rPr>
      </w:pPr>
      <w:r>
        <w:rPr>
          <w:rFonts w:hint="eastAsia" w:ascii="仿宋_GB2312" w:eastAsia="仿宋_GB2312" w:cs="宋体" w:hAnsiTheme="minorEastAsia"/>
          <w:sz w:val="32"/>
          <w:szCs w:val="32"/>
        </w:rPr>
        <w:t>（二）预算金额为本次项目总金额，合同期内委托方将不以任何形式支付附加工作酬金。</w:t>
      </w:r>
    </w:p>
    <w:p>
      <w:pPr>
        <w:spacing w:line="360" w:lineRule="auto"/>
        <w:ind w:firstLine="640" w:firstLineChars="200"/>
        <w:rPr>
          <w:rFonts w:ascii="仿宋_GB2312" w:eastAsia="仿宋_GB2312" w:cs="宋体" w:hAnsiTheme="minorEastAsia"/>
          <w:sz w:val="32"/>
          <w:szCs w:val="32"/>
        </w:rPr>
      </w:pPr>
      <w:r>
        <w:rPr>
          <w:rFonts w:hint="eastAsia" w:ascii="仿宋_GB2312" w:eastAsia="仿宋_GB2312" w:cs="宋体" w:hAnsiTheme="minorEastAsia"/>
          <w:sz w:val="32"/>
          <w:szCs w:val="32"/>
        </w:rPr>
        <w:t>（三）付款方式：委托方于合同签订后支付合同款50%，2</w:t>
      </w:r>
      <w:r>
        <w:rPr>
          <w:rFonts w:ascii="仿宋_GB2312" w:eastAsia="仿宋_GB2312" w:cs="宋体" w:hAnsiTheme="minorEastAsia"/>
          <w:sz w:val="32"/>
          <w:szCs w:val="32"/>
        </w:rPr>
        <w:t>023年</w:t>
      </w:r>
      <w:r>
        <w:rPr>
          <w:rFonts w:hint="eastAsia" w:ascii="仿宋_GB2312" w:eastAsia="仿宋_GB2312" w:cs="宋体" w:hAnsiTheme="minorEastAsia"/>
          <w:sz w:val="32"/>
          <w:szCs w:val="32"/>
        </w:rPr>
        <w:t>支付合同款</w:t>
      </w:r>
      <w:r>
        <w:rPr>
          <w:rFonts w:hint="eastAsia" w:ascii="仿宋_GB2312" w:eastAsia="仿宋_GB2312" w:cs="宋体" w:hAnsiTheme="minorEastAsia"/>
          <w:sz w:val="32"/>
          <w:szCs w:val="32"/>
          <w:lang w:val="en-US" w:eastAsia="zh-CN"/>
        </w:rPr>
        <w:t>50</w:t>
      </w:r>
      <w:r>
        <w:rPr>
          <w:rFonts w:hint="eastAsia" w:ascii="仿宋_GB2312" w:eastAsia="仿宋_GB2312" w:cs="宋体" w:hAnsiTheme="minorEastAsia"/>
          <w:sz w:val="32"/>
          <w:szCs w:val="32"/>
        </w:rPr>
        <w:t>%。</w:t>
      </w:r>
    </w:p>
    <w:p>
      <w:pPr>
        <w:ind w:right="-335" w:firstLine="640" w:firstLineChars="200"/>
        <w:jc w:val="left"/>
        <w:outlineLvl w:val="0"/>
        <w:rPr>
          <w:rFonts w:ascii="黑体" w:hAnsi="黑体" w:eastAsia="黑体" w:cs="宋体"/>
          <w:sz w:val="32"/>
          <w:szCs w:val="32"/>
        </w:rPr>
      </w:pPr>
      <w:r>
        <w:rPr>
          <w:rFonts w:hint="eastAsia" w:ascii="黑体" w:hAnsi="黑体" w:eastAsia="黑体" w:cs="宋体"/>
          <w:sz w:val="32"/>
          <w:szCs w:val="32"/>
        </w:rPr>
        <w:t>七、报价上传资料要求</w:t>
      </w:r>
    </w:p>
    <w:p>
      <w:pPr>
        <w:spacing w:line="360" w:lineRule="auto"/>
        <w:ind w:firstLine="640" w:firstLineChars="200"/>
        <w:rPr>
          <w:rFonts w:ascii="仿宋_GB2312" w:eastAsia="仿宋_GB2312" w:cs="宋体" w:hAnsiTheme="minorEastAsia"/>
          <w:sz w:val="32"/>
          <w:szCs w:val="32"/>
        </w:rPr>
      </w:pPr>
      <w:r>
        <w:rPr>
          <w:rFonts w:hint="eastAsia" w:ascii="仿宋_GB2312" w:eastAsia="仿宋_GB2312" w:cs="宋体" w:hAnsiTheme="minorEastAsia"/>
          <w:sz w:val="32"/>
          <w:szCs w:val="32"/>
        </w:rPr>
        <w:t>为保证服务质量，报价时需同时上传能证明报价人技术水平和服务水平的相关资料，包括但不限于：</w:t>
      </w:r>
    </w:p>
    <w:p>
      <w:pPr>
        <w:spacing w:line="360" w:lineRule="auto"/>
        <w:ind w:firstLine="640" w:firstLineChars="200"/>
        <w:rPr>
          <w:rFonts w:ascii="黑体" w:hAnsi="黑体" w:eastAsia="黑体" w:cs="宋体"/>
          <w:sz w:val="32"/>
          <w:szCs w:val="32"/>
        </w:rPr>
      </w:pPr>
      <w:r>
        <w:rPr>
          <w:rFonts w:hint="eastAsia" w:ascii="仿宋_GB2312" w:eastAsia="仿宋_GB2312" w:cs="宋体" w:hAnsiTheme="minorEastAsia"/>
          <w:sz w:val="32"/>
          <w:szCs w:val="32"/>
        </w:rPr>
        <w:t>体现公司综合实力水平（有关资质证书、专业技术人员力量、社保证明）、办公服务场所证明和不低于五个机关单位的同类维护合同等材料。</w:t>
      </w:r>
      <w:r>
        <w:rPr>
          <w:rFonts w:ascii="黑体" w:hAnsi="黑体" w:eastAsia="黑体" w:cs="宋体"/>
          <w:sz w:val="32"/>
          <w:szCs w:val="32"/>
        </w:rPr>
        <w:t xml:space="preserve"> </w:t>
      </w:r>
    </w:p>
    <w:p>
      <w:pPr>
        <w:ind w:right="-335" w:firstLine="640" w:firstLineChars="200"/>
        <w:jc w:val="left"/>
        <w:outlineLvl w:val="0"/>
        <w:rPr>
          <w:rFonts w:ascii="黑体" w:hAnsi="黑体" w:eastAsia="黑体" w:cs="宋体"/>
          <w:sz w:val="32"/>
          <w:szCs w:val="32"/>
        </w:rPr>
      </w:pPr>
      <w:r>
        <w:rPr>
          <w:rFonts w:hint="eastAsia" w:ascii="黑体" w:hAnsi="黑体" w:eastAsia="黑体" w:cs="宋体"/>
          <w:sz w:val="32"/>
          <w:szCs w:val="32"/>
        </w:rPr>
        <w:t>八、违约责任</w:t>
      </w:r>
    </w:p>
    <w:p>
      <w:pPr>
        <w:spacing w:line="360" w:lineRule="auto"/>
        <w:ind w:right="-335" w:firstLine="640" w:firstLineChars="200"/>
        <w:jc w:val="left"/>
        <w:rPr>
          <w:rFonts w:hint="eastAsia" w:ascii="仿宋_GB2312" w:eastAsia="仿宋_GB2312" w:cs="宋体" w:hAnsiTheme="minorEastAsia"/>
          <w:sz w:val="32"/>
          <w:szCs w:val="32"/>
        </w:rPr>
      </w:pPr>
      <w:r>
        <w:rPr>
          <w:rFonts w:hint="eastAsia" w:ascii="仿宋_GB2312" w:eastAsia="仿宋_GB2312" w:cs="宋体" w:hAnsiTheme="minorEastAsia"/>
          <w:sz w:val="32"/>
          <w:szCs w:val="32"/>
        </w:rPr>
        <w:t>供应商存在以下违约行为则终止协议，赔付委托方全部项目支付资金：1、不接受委托方的监管；2、不定期向委托方汇报工作情况；3、服务质量不合格；4、工作成果不合格。</w:t>
      </w:r>
    </w:p>
    <w:p>
      <w:pPr>
        <w:ind w:right="-335" w:firstLine="640" w:firstLineChars="200"/>
        <w:jc w:val="left"/>
        <w:outlineLvl w:val="0"/>
        <w:rPr>
          <w:rFonts w:hint="eastAsia" w:ascii="黑体" w:hAnsi="黑体" w:eastAsia="黑体" w:cs="宋体"/>
          <w:sz w:val="32"/>
          <w:szCs w:val="32"/>
          <w:lang w:val="zh-CN"/>
        </w:rPr>
      </w:pPr>
      <w:r>
        <w:rPr>
          <w:rFonts w:hint="eastAsia" w:ascii="黑体" w:hAnsi="黑体" w:eastAsia="黑体" w:cs="宋体"/>
          <w:sz w:val="32"/>
          <w:szCs w:val="32"/>
          <w:lang w:val="zh-CN"/>
        </w:rPr>
        <w:t>九、选定原则与中标方法</w:t>
      </w:r>
    </w:p>
    <w:p>
      <w:pPr>
        <w:pStyle w:val="4"/>
        <w:numPr>
          <w:ilvl w:val="0"/>
          <w:numId w:val="0"/>
        </w:numPr>
        <w:spacing w:before="156" w:beforeLines="50" w:after="156" w:afterLines="50"/>
        <w:ind w:left="0" w:leftChars="0" w:firstLine="640" w:firstLineChars="200"/>
        <w:rPr>
          <w:rFonts w:hint="eastAsia" w:ascii="仿宋_GB2312" w:eastAsia="仿宋_GB2312" w:cs="宋体" w:hAnsiTheme="minorEastAsia"/>
          <w:b w:val="0"/>
          <w:bCs w:val="0"/>
          <w:kern w:val="2"/>
          <w:sz w:val="32"/>
          <w:szCs w:val="32"/>
          <w:lang w:val="en-US" w:eastAsia="zh-CN" w:bidi="ar-SA"/>
        </w:rPr>
      </w:pPr>
      <w:r>
        <w:rPr>
          <w:rFonts w:hint="eastAsia" w:ascii="仿宋_GB2312" w:eastAsia="仿宋_GB2312" w:cs="宋体" w:hAnsiTheme="minorEastAsia"/>
          <w:b w:val="0"/>
          <w:bCs w:val="0"/>
          <w:kern w:val="2"/>
          <w:sz w:val="32"/>
          <w:szCs w:val="32"/>
          <w:lang w:val="en-US" w:eastAsia="zh-CN" w:bidi="ar-SA"/>
        </w:rPr>
        <w:t>1、按能够最大限度地满足采购需求文件中规定的各项综合标准的原则选定。</w:t>
      </w:r>
    </w:p>
    <w:p>
      <w:pPr>
        <w:pStyle w:val="4"/>
        <w:numPr>
          <w:ilvl w:val="0"/>
          <w:numId w:val="0"/>
        </w:numPr>
        <w:spacing w:before="156" w:beforeLines="50" w:after="156" w:afterLines="50"/>
        <w:ind w:left="0" w:leftChars="0" w:firstLine="640" w:firstLineChars="200"/>
        <w:rPr>
          <w:rFonts w:hint="eastAsia" w:ascii="仿宋_GB2312" w:eastAsia="仿宋_GB2312" w:cs="宋体" w:hAnsiTheme="minorEastAsia"/>
          <w:b w:val="0"/>
          <w:bCs w:val="0"/>
          <w:kern w:val="2"/>
          <w:sz w:val="32"/>
          <w:szCs w:val="32"/>
          <w:lang w:val="en-US" w:eastAsia="zh-CN" w:bidi="ar-SA"/>
        </w:rPr>
      </w:pPr>
      <w:r>
        <w:rPr>
          <w:rFonts w:hint="eastAsia" w:ascii="仿宋_GB2312" w:eastAsia="仿宋_GB2312" w:cs="宋体" w:hAnsiTheme="minorEastAsia"/>
          <w:b w:val="0"/>
          <w:bCs w:val="0"/>
          <w:kern w:val="2"/>
          <w:sz w:val="32"/>
          <w:szCs w:val="32"/>
          <w:lang w:val="en-US" w:eastAsia="zh-CN" w:bidi="ar-SA"/>
        </w:rPr>
        <w:t>2、本次以采购需求文件中规定的条件为原则，最低报价不作为选定中标的唯一依据。</w:t>
      </w:r>
    </w:p>
    <w:p>
      <w:pPr>
        <w:spacing w:line="360" w:lineRule="auto"/>
        <w:ind w:right="-335" w:firstLine="640" w:firstLineChars="200"/>
        <w:jc w:val="left"/>
        <w:rPr>
          <w:rFonts w:hint="eastAsia" w:ascii="仿宋_GB2312" w:eastAsia="仿宋_GB2312" w:cs="宋体" w:hAnsiTheme="minorEastAsia"/>
          <w:sz w:val="32"/>
          <w:szCs w:val="32"/>
        </w:rPr>
      </w:pPr>
    </w:p>
    <w:sectPr>
      <w:footerReference r:id="rId3" w:type="default"/>
      <w:pgSz w:w="11906" w:h="16838"/>
      <w:pgMar w:top="1440" w:right="1558" w:bottom="1440" w:left="180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Mongolian Baiti">
    <w:panose1 w:val="03000500000000000000"/>
    <w:charset w:val="00"/>
    <w:family w:val="script"/>
    <w:pitch w:val="default"/>
    <w:sig w:usb0="80000023" w:usb1="00000000" w:usb2="00020000" w:usb3="00000000" w:csb0="00000001"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5700120"/>
      <w:docPartObj>
        <w:docPartGallery w:val="autotext"/>
      </w:docPartObj>
    </w:sdtPr>
    <w:sdtContent>
      <w:sdt>
        <w:sdtPr>
          <w:id w:val="1728636285"/>
          <w:docPartObj>
            <w:docPartGallery w:val="autotext"/>
          </w:docPartObj>
        </w:sdtPr>
        <w:sdtContent>
          <w:p>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jZTQ0OWViZjM4YjllYTEyYmI3NDEwYzE3ODYyMzEifQ=="/>
  </w:docVars>
  <w:rsids>
    <w:rsidRoot w:val="002460B3"/>
    <w:rsid w:val="00002185"/>
    <w:rsid w:val="000048F8"/>
    <w:rsid w:val="00006E13"/>
    <w:rsid w:val="00022377"/>
    <w:rsid w:val="0002250A"/>
    <w:rsid w:val="000378A2"/>
    <w:rsid w:val="00052A75"/>
    <w:rsid w:val="000637FA"/>
    <w:rsid w:val="00077F91"/>
    <w:rsid w:val="00091217"/>
    <w:rsid w:val="000A06C3"/>
    <w:rsid w:val="000A6D96"/>
    <w:rsid w:val="000B1AAB"/>
    <w:rsid w:val="000B60E8"/>
    <w:rsid w:val="000C0BB8"/>
    <w:rsid w:val="000D1A38"/>
    <w:rsid w:val="000D3346"/>
    <w:rsid w:val="000D66D2"/>
    <w:rsid w:val="000E21D8"/>
    <w:rsid w:val="000F3499"/>
    <w:rsid w:val="001025F2"/>
    <w:rsid w:val="00117288"/>
    <w:rsid w:val="0012364A"/>
    <w:rsid w:val="00124AC4"/>
    <w:rsid w:val="00125859"/>
    <w:rsid w:val="00144F16"/>
    <w:rsid w:val="00151769"/>
    <w:rsid w:val="001637FC"/>
    <w:rsid w:val="001677AC"/>
    <w:rsid w:val="00172FB6"/>
    <w:rsid w:val="001821C0"/>
    <w:rsid w:val="001861F3"/>
    <w:rsid w:val="0018647D"/>
    <w:rsid w:val="00187CF4"/>
    <w:rsid w:val="00194377"/>
    <w:rsid w:val="00195682"/>
    <w:rsid w:val="0019721D"/>
    <w:rsid w:val="001A07FA"/>
    <w:rsid w:val="001C0748"/>
    <w:rsid w:val="001E3CD9"/>
    <w:rsid w:val="001F4EC8"/>
    <w:rsid w:val="00220681"/>
    <w:rsid w:val="002459D2"/>
    <w:rsid w:val="002460B3"/>
    <w:rsid w:val="0025418B"/>
    <w:rsid w:val="0026074C"/>
    <w:rsid w:val="002613F6"/>
    <w:rsid w:val="00263D0A"/>
    <w:rsid w:val="002654C8"/>
    <w:rsid w:val="002668C5"/>
    <w:rsid w:val="00280188"/>
    <w:rsid w:val="002A00DC"/>
    <w:rsid w:val="002A57A6"/>
    <w:rsid w:val="002B404C"/>
    <w:rsid w:val="002C122B"/>
    <w:rsid w:val="002D097D"/>
    <w:rsid w:val="002D6F72"/>
    <w:rsid w:val="002E0B99"/>
    <w:rsid w:val="002F4FA1"/>
    <w:rsid w:val="002F52DF"/>
    <w:rsid w:val="0030255D"/>
    <w:rsid w:val="0031316C"/>
    <w:rsid w:val="00314E5D"/>
    <w:rsid w:val="00315BA1"/>
    <w:rsid w:val="00324775"/>
    <w:rsid w:val="003268C0"/>
    <w:rsid w:val="00334376"/>
    <w:rsid w:val="00382760"/>
    <w:rsid w:val="00382BED"/>
    <w:rsid w:val="003913BC"/>
    <w:rsid w:val="003930A5"/>
    <w:rsid w:val="0039401E"/>
    <w:rsid w:val="00396346"/>
    <w:rsid w:val="003A4812"/>
    <w:rsid w:val="003A5DE0"/>
    <w:rsid w:val="003B153F"/>
    <w:rsid w:val="003B5BEE"/>
    <w:rsid w:val="003D6DD1"/>
    <w:rsid w:val="003E2B10"/>
    <w:rsid w:val="003E4F15"/>
    <w:rsid w:val="003F5A37"/>
    <w:rsid w:val="0040502F"/>
    <w:rsid w:val="00410BE6"/>
    <w:rsid w:val="004265A0"/>
    <w:rsid w:val="004266A5"/>
    <w:rsid w:val="004322CD"/>
    <w:rsid w:val="0043796B"/>
    <w:rsid w:val="00440C40"/>
    <w:rsid w:val="00454810"/>
    <w:rsid w:val="00461391"/>
    <w:rsid w:val="004638FF"/>
    <w:rsid w:val="00472D98"/>
    <w:rsid w:val="004842B7"/>
    <w:rsid w:val="00485C92"/>
    <w:rsid w:val="00497B1D"/>
    <w:rsid w:val="004A0AF6"/>
    <w:rsid w:val="004B7CE9"/>
    <w:rsid w:val="004D2F18"/>
    <w:rsid w:val="004D5915"/>
    <w:rsid w:val="004E30F1"/>
    <w:rsid w:val="004F3897"/>
    <w:rsid w:val="00501372"/>
    <w:rsid w:val="005018B9"/>
    <w:rsid w:val="00507A14"/>
    <w:rsid w:val="00521EEA"/>
    <w:rsid w:val="00521FBF"/>
    <w:rsid w:val="00527697"/>
    <w:rsid w:val="00532569"/>
    <w:rsid w:val="00533FC9"/>
    <w:rsid w:val="00540150"/>
    <w:rsid w:val="00541F67"/>
    <w:rsid w:val="00546FDB"/>
    <w:rsid w:val="00556792"/>
    <w:rsid w:val="005624F9"/>
    <w:rsid w:val="00567362"/>
    <w:rsid w:val="00590EE9"/>
    <w:rsid w:val="00594625"/>
    <w:rsid w:val="00595D78"/>
    <w:rsid w:val="005B23C4"/>
    <w:rsid w:val="005D57E5"/>
    <w:rsid w:val="005E4005"/>
    <w:rsid w:val="005F0667"/>
    <w:rsid w:val="005F5198"/>
    <w:rsid w:val="00600E43"/>
    <w:rsid w:val="00613372"/>
    <w:rsid w:val="00634E07"/>
    <w:rsid w:val="0066448E"/>
    <w:rsid w:val="0066713B"/>
    <w:rsid w:val="0067361C"/>
    <w:rsid w:val="00682D22"/>
    <w:rsid w:val="0068473E"/>
    <w:rsid w:val="0069215D"/>
    <w:rsid w:val="00694369"/>
    <w:rsid w:val="006B143C"/>
    <w:rsid w:val="006B7764"/>
    <w:rsid w:val="006D26D3"/>
    <w:rsid w:val="006D4849"/>
    <w:rsid w:val="006D5F79"/>
    <w:rsid w:val="007134F3"/>
    <w:rsid w:val="00716844"/>
    <w:rsid w:val="00716F84"/>
    <w:rsid w:val="00747BC3"/>
    <w:rsid w:val="00750A25"/>
    <w:rsid w:val="00753ABF"/>
    <w:rsid w:val="007608C4"/>
    <w:rsid w:val="007802BF"/>
    <w:rsid w:val="00783C1C"/>
    <w:rsid w:val="00783E5B"/>
    <w:rsid w:val="00796941"/>
    <w:rsid w:val="007A0B05"/>
    <w:rsid w:val="007A2B2A"/>
    <w:rsid w:val="007A4081"/>
    <w:rsid w:val="007A64F6"/>
    <w:rsid w:val="007A6B0F"/>
    <w:rsid w:val="007B1F31"/>
    <w:rsid w:val="007B239A"/>
    <w:rsid w:val="007B2410"/>
    <w:rsid w:val="007B579E"/>
    <w:rsid w:val="007C0990"/>
    <w:rsid w:val="007C7B14"/>
    <w:rsid w:val="007D5135"/>
    <w:rsid w:val="007E15E3"/>
    <w:rsid w:val="007F7B32"/>
    <w:rsid w:val="008021A4"/>
    <w:rsid w:val="008021D5"/>
    <w:rsid w:val="00803129"/>
    <w:rsid w:val="00812443"/>
    <w:rsid w:val="0081492B"/>
    <w:rsid w:val="00826FF1"/>
    <w:rsid w:val="0084206E"/>
    <w:rsid w:val="008515F3"/>
    <w:rsid w:val="00852EC4"/>
    <w:rsid w:val="008570E3"/>
    <w:rsid w:val="0086791D"/>
    <w:rsid w:val="00867D6F"/>
    <w:rsid w:val="00867FE5"/>
    <w:rsid w:val="0089420A"/>
    <w:rsid w:val="008B274F"/>
    <w:rsid w:val="008E36CF"/>
    <w:rsid w:val="008F72B0"/>
    <w:rsid w:val="008F7642"/>
    <w:rsid w:val="00900FBA"/>
    <w:rsid w:val="0090157A"/>
    <w:rsid w:val="00912341"/>
    <w:rsid w:val="00913736"/>
    <w:rsid w:val="00916335"/>
    <w:rsid w:val="00932AAF"/>
    <w:rsid w:val="00936A10"/>
    <w:rsid w:val="00943478"/>
    <w:rsid w:val="00945957"/>
    <w:rsid w:val="00945B40"/>
    <w:rsid w:val="00953819"/>
    <w:rsid w:val="0096488C"/>
    <w:rsid w:val="00965627"/>
    <w:rsid w:val="0096729A"/>
    <w:rsid w:val="0098527E"/>
    <w:rsid w:val="0098624E"/>
    <w:rsid w:val="00991C5C"/>
    <w:rsid w:val="009926E0"/>
    <w:rsid w:val="00994D01"/>
    <w:rsid w:val="0099548B"/>
    <w:rsid w:val="00995A1C"/>
    <w:rsid w:val="00995EF5"/>
    <w:rsid w:val="009A165C"/>
    <w:rsid w:val="009A1DE3"/>
    <w:rsid w:val="009B21AD"/>
    <w:rsid w:val="009B286E"/>
    <w:rsid w:val="009C002A"/>
    <w:rsid w:val="009E3412"/>
    <w:rsid w:val="009E4263"/>
    <w:rsid w:val="009E549C"/>
    <w:rsid w:val="00A023E5"/>
    <w:rsid w:val="00A052A3"/>
    <w:rsid w:val="00A07BEC"/>
    <w:rsid w:val="00A1349D"/>
    <w:rsid w:val="00A175A2"/>
    <w:rsid w:val="00A24C2E"/>
    <w:rsid w:val="00A3260F"/>
    <w:rsid w:val="00A33A00"/>
    <w:rsid w:val="00A42A5E"/>
    <w:rsid w:val="00A53AB4"/>
    <w:rsid w:val="00A571D6"/>
    <w:rsid w:val="00A624C1"/>
    <w:rsid w:val="00A712BA"/>
    <w:rsid w:val="00A73571"/>
    <w:rsid w:val="00A83226"/>
    <w:rsid w:val="00A93BBE"/>
    <w:rsid w:val="00AA39EF"/>
    <w:rsid w:val="00AB2C81"/>
    <w:rsid w:val="00AB7F22"/>
    <w:rsid w:val="00AC0AD4"/>
    <w:rsid w:val="00AC383B"/>
    <w:rsid w:val="00B05B05"/>
    <w:rsid w:val="00B07068"/>
    <w:rsid w:val="00B07519"/>
    <w:rsid w:val="00B13737"/>
    <w:rsid w:val="00B30BCA"/>
    <w:rsid w:val="00B43156"/>
    <w:rsid w:val="00B574D2"/>
    <w:rsid w:val="00B611B5"/>
    <w:rsid w:val="00B70CBC"/>
    <w:rsid w:val="00B73DF9"/>
    <w:rsid w:val="00B774E5"/>
    <w:rsid w:val="00B87E62"/>
    <w:rsid w:val="00B90381"/>
    <w:rsid w:val="00B95E11"/>
    <w:rsid w:val="00BA3A75"/>
    <w:rsid w:val="00BA4F76"/>
    <w:rsid w:val="00BA672E"/>
    <w:rsid w:val="00BA7C9B"/>
    <w:rsid w:val="00BB421B"/>
    <w:rsid w:val="00BD4518"/>
    <w:rsid w:val="00BE71C0"/>
    <w:rsid w:val="00C1067D"/>
    <w:rsid w:val="00C32928"/>
    <w:rsid w:val="00C36967"/>
    <w:rsid w:val="00C415DA"/>
    <w:rsid w:val="00C41C07"/>
    <w:rsid w:val="00C44985"/>
    <w:rsid w:val="00C44B50"/>
    <w:rsid w:val="00C46B2B"/>
    <w:rsid w:val="00C52B80"/>
    <w:rsid w:val="00C647F4"/>
    <w:rsid w:val="00C65280"/>
    <w:rsid w:val="00C87309"/>
    <w:rsid w:val="00CA7593"/>
    <w:rsid w:val="00CB72F6"/>
    <w:rsid w:val="00CE53E4"/>
    <w:rsid w:val="00CF1E3F"/>
    <w:rsid w:val="00D014F0"/>
    <w:rsid w:val="00D15DF3"/>
    <w:rsid w:val="00D3110E"/>
    <w:rsid w:val="00D5045A"/>
    <w:rsid w:val="00D60716"/>
    <w:rsid w:val="00DA402C"/>
    <w:rsid w:val="00DA43A2"/>
    <w:rsid w:val="00DB7E53"/>
    <w:rsid w:val="00DD2EB2"/>
    <w:rsid w:val="00E00016"/>
    <w:rsid w:val="00E26D3C"/>
    <w:rsid w:val="00E26F2F"/>
    <w:rsid w:val="00E35286"/>
    <w:rsid w:val="00E53AC9"/>
    <w:rsid w:val="00E56AA1"/>
    <w:rsid w:val="00E64044"/>
    <w:rsid w:val="00E7041F"/>
    <w:rsid w:val="00E75628"/>
    <w:rsid w:val="00E779CD"/>
    <w:rsid w:val="00EA39F7"/>
    <w:rsid w:val="00EA3B75"/>
    <w:rsid w:val="00EB128A"/>
    <w:rsid w:val="00EB14BE"/>
    <w:rsid w:val="00EC3377"/>
    <w:rsid w:val="00ED6B4A"/>
    <w:rsid w:val="00EE0BFF"/>
    <w:rsid w:val="00EE36C3"/>
    <w:rsid w:val="00EE676B"/>
    <w:rsid w:val="00EF5D28"/>
    <w:rsid w:val="00EF5FEB"/>
    <w:rsid w:val="00F144DE"/>
    <w:rsid w:val="00F34910"/>
    <w:rsid w:val="00F37DC3"/>
    <w:rsid w:val="00F84ABA"/>
    <w:rsid w:val="00F8567A"/>
    <w:rsid w:val="00FA297D"/>
    <w:rsid w:val="00FA541E"/>
    <w:rsid w:val="00FB0DF0"/>
    <w:rsid w:val="00FC10E6"/>
    <w:rsid w:val="00FC4555"/>
    <w:rsid w:val="00FD1D23"/>
    <w:rsid w:val="00FD3630"/>
    <w:rsid w:val="00FD46E7"/>
    <w:rsid w:val="00FE1944"/>
    <w:rsid w:val="00FE4200"/>
    <w:rsid w:val="00FF2C7E"/>
    <w:rsid w:val="00FF45DD"/>
    <w:rsid w:val="00FF6B4E"/>
    <w:rsid w:val="06BA27AF"/>
    <w:rsid w:val="08135BF2"/>
    <w:rsid w:val="185C4CA0"/>
    <w:rsid w:val="1C276B8E"/>
    <w:rsid w:val="1E412D54"/>
    <w:rsid w:val="24207C9D"/>
    <w:rsid w:val="27826579"/>
    <w:rsid w:val="3E725142"/>
    <w:rsid w:val="3F476B9F"/>
    <w:rsid w:val="48684BFE"/>
    <w:rsid w:val="4ECF3EEA"/>
    <w:rsid w:val="55583C4A"/>
    <w:rsid w:val="56925F29"/>
    <w:rsid w:val="59E00D5A"/>
    <w:rsid w:val="749C3698"/>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2"/>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Calibri" w:hAnsi="Calibri" w:eastAsia="宋体" w:cs="Times New Roman"/>
      <w:kern w:val="2"/>
      <w:sz w:val="21"/>
      <w:szCs w:val="22"/>
      <w:lang w:val="en-US" w:eastAsia="zh-CN" w:bidi="ar-SA"/>
    </w:rPr>
  </w:style>
  <w:style w:type="paragraph" w:styleId="6">
    <w:name w:val="Balloon Text"/>
    <w:basedOn w:val="1"/>
    <w:semiHidden/>
    <w:uiPriority w:val="0"/>
    <w:rPr>
      <w:sz w:val="18"/>
      <w:szCs w:val="18"/>
    </w:rPr>
  </w:style>
  <w:style w:type="paragraph" w:styleId="7">
    <w:name w:val="footer"/>
    <w:basedOn w:val="1"/>
    <w:link w:val="17"/>
    <w:uiPriority w:val="99"/>
    <w:pPr>
      <w:tabs>
        <w:tab w:val="center" w:pos="4153"/>
        <w:tab w:val="right" w:pos="8306"/>
      </w:tabs>
      <w:snapToGrid w:val="0"/>
      <w:jc w:val="left"/>
    </w:pPr>
    <w:rPr>
      <w:sz w:val="18"/>
      <w:szCs w:val="18"/>
    </w:rPr>
  </w:style>
  <w:style w:type="paragraph" w:styleId="8">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99"/>
    <w:pPr>
      <w:widowControl/>
      <w:spacing w:before="100" w:beforeAutospacing="1" w:after="100" w:afterAutospacing="1"/>
      <w:jc w:val="left"/>
    </w:pPr>
    <w:rPr>
      <w:rFonts w:ascii="宋体" w:hAnsi="宋体" w:cs="宋体"/>
      <w:color w:val="000000"/>
      <w:kern w:val="0"/>
      <w:sz w:val="24"/>
    </w:rPr>
  </w:style>
  <w:style w:type="paragraph" w:styleId="10">
    <w:name w:val="Title"/>
    <w:basedOn w:val="1"/>
    <w:next w:val="1"/>
    <w:link w:val="18"/>
    <w:qFormat/>
    <w:uiPriority w:val="10"/>
    <w:pPr>
      <w:spacing w:before="240" w:after="60"/>
      <w:jc w:val="center"/>
      <w:outlineLvl w:val="0"/>
    </w:pPr>
    <w:rPr>
      <w:rFonts w:ascii="Cambria" w:hAnsi="Cambria"/>
      <w:b/>
      <w:bCs/>
      <w:sz w:val="32"/>
      <w:szCs w:val="32"/>
    </w:rPr>
  </w:style>
  <w:style w:type="table" w:styleId="12">
    <w:name w:val="Table Grid"/>
    <w:basedOn w:val="11"/>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_Style 6"/>
    <w:basedOn w:val="1"/>
    <w:qFormat/>
    <w:uiPriority w:val="0"/>
    <w:pPr>
      <w:spacing w:line="360" w:lineRule="auto"/>
      <w:ind w:firstLine="200" w:firstLineChars="200"/>
    </w:pPr>
    <w:rPr>
      <w:rFonts w:ascii="宋体" w:hAnsi="宋体" w:cs="宋体"/>
      <w:sz w:val="24"/>
      <w:szCs w:val="20"/>
    </w:rPr>
  </w:style>
  <w:style w:type="paragraph" w:customStyle="1" w:styleId="15">
    <w:name w:val="p0"/>
    <w:basedOn w:val="1"/>
    <w:qFormat/>
    <w:uiPriority w:val="0"/>
    <w:pPr>
      <w:widowControl/>
    </w:pPr>
    <w:rPr>
      <w:color w:val="0000FF"/>
      <w:kern w:val="0"/>
      <w:szCs w:val="21"/>
    </w:rPr>
  </w:style>
  <w:style w:type="character" w:customStyle="1" w:styleId="16">
    <w:name w:val="页眉 字符"/>
    <w:link w:val="8"/>
    <w:uiPriority w:val="0"/>
    <w:rPr>
      <w:kern w:val="2"/>
      <w:sz w:val="18"/>
      <w:szCs w:val="18"/>
    </w:rPr>
  </w:style>
  <w:style w:type="character" w:customStyle="1" w:styleId="17">
    <w:name w:val="页脚 字符"/>
    <w:link w:val="7"/>
    <w:uiPriority w:val="99"/>
    <w:rPr>
      <w:kern w:val="2"/>
      <w:sz w:val="18"/>
      <w:szCs w:val="18"/>
    </w:rPr>
  </w:style>
  <w:style w:type="character" w:customStyle="1" w:styleId="18">
    <w:name w:val="标题 字符"/>
    <w:link w:val="10"/>
    <w:uiPriority w:val="10"/>
    <w:rPr>
      <w:rFonts w:ascii="Cambria" w:hAnsi="Cambria"/>
      <w:b/>
      <w:bCs/>
      <w:kern w:val="2"/>
      <w:sz w:val="32"/>
      <w:szCs w:val="32"/>
    </w:rPr>
  </w:style>
  <w:style w:type="paragraph" w:styleId="19">
    <w:name w:val="List Paragraph"/>
    <w:basedOn w:val="1"/>
    <w:qFormat/>
    <w:uiPriority w:val="34"/>
    <w:pPr>
      <w:ind w:firstLine="420" w:firstLineChars="200"/>
    </w:pPr>
  </w:style>
  <w:style w:type="character" w:customStyle="1" w:styleId="20">
    <w:name w:val="标题 1 字符"/>
    <w:basedOn w:val="13"/>
    <w:link w:val="3"/>
    <w:uiPriority w:val="0"/>
    <w:rPr>
      <w:b/>
      <w:bCs/>
      <w:kern w:val="44"/>
      <w:sz w:val="44"/>
      <w:szCs w:val="44"/>
    </w:rPr>
  </w:style>
  <w:style w:type="character" w:customStyle="1" w:styleId="21">
    <w:name w:val="标题 2 字符"/>
    <w:basedOn w:val="13"/>
    <w:link w:val="4"/>
    <w:uiPriority w:val="0"/>
    <w:rPr>
      <w:rFonts w:asciiTheme="majorHAnsi" w:hAnsiTheme="majorHAnsi" w:eastAsiaTheme="majorEastAsia" w:cstheme="majorBidi"/>
      <w:b/>
      <w:bCs/>
      <w:kern w:val="2"/>
      <w:sz w:val="32"/>
      <w:szCs w:val="32"/>
    </w:rPr>
  </w:style>
  <w:style w:type="character" w:customStyle="1" w:styleId="22">
    <w:name w:val="标题 3 字符"/>
    <w:basedOn w:val="13"/>
    <w:link w:val="5"/>
    <w:uiPriority w:val="0"/>
    <w:rPr>
      <w:b/>
      <w:bCs/>
      <w:kern w:val="2"/>
      <w:sz w:val="32"/>
      <w:szCs w:val="32"/>
    </w:rPr>
  </w:style>
  <w:style w:type="paragraph" w:customStyle="1" w:styleId="23">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7D48F-BADB-4142-B9DD-832E21155199}">
  <ds:schemaRefs/>
</ds:datastoreItem>
</file>

<file path=docProps/app.xml><?xml version="1.0" encoding="utf-8"?>
<Properties xmlns="http://schemas.openxmlformats.org/officeDocument/2006/extended-properties" xmlns:vt="http://schemas.openxmlformats.org/officeDocument/2006/docPropsVTypes">
  <Template>Normal</Template>
  <Pages>8</Pages>
  <Words>3063</Words>
  <Characters>3116</Characters>
  <Lines>22</Lines>
  <Paragraphs>6</Paragraphs>
  <TotalTime>1</TotalTime>
  <ScaleCrop>false</ScaleCrop>
  <LinksUpToDate>false</LinksUpToDate>
  <CharactersWithSpaces>3117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2020-06-20T13:05:00Z</dcterms:created>
  <dc:creator>admin01</dc:creator>
  <cp:lastModifiedBy>Yang</cp:lastModifiedBy>
  <cp:lastPrinted>2020-09-17T08:40:00Z</cp:lastPrinted>
  <dcterms:modified xsi:type="dcterms:W3CDTF">2022-11-08T01:38:13Z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0FBEDDA4C24B4BED816E9728BC5C03E5</vt:lpwstr>
  </property>
</Properties>
</file>